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055" w:rsidRDefault="00EC1055">
      <w:pPr>
        <w:rPr>
          <w:rFonts w:ascii="Times New Roman" w:hAnsi="Times New Roman" w:cs="Times New Roman"/>
          <w:b/>
          <w:color w:val="1D1D1D"/>
          <w:sz w:val="24"/>
          <w:szCs w:val="24"/>
          <w:shd w:val="clear" w:color="auto" w:fill="FFFFFF"/>
        </w:rPr>
      </w:pPr>
    </w:p>
    <w:p w:rsidR="00EC1055" w:rsidRDefault="00EC1055">
      <w:pPr>
        <w:rPr>
          <w:rFonts w:ascii="Times New Roman" w:hAnsi="Times New Roman" w:cs="Times New Roman"/>
          <w:b/>
          <w:color w:val="1D1D1D"/>
          <w:sz w:val="24"/>
          <w:szCs w:val="24"/>
          <w:shd w:val="clear" w:color="auto" w:fill="FFFFFF"/>
        </w:rPr>
      </w:pPr>
    </w:p>
    <w:p w:rsidR="00EC1055" w:rsidRDefault="00EC1055">
      <w:pPr>
        <w:rPr>
          <w:rFonts w:ascii="Times New Roman" w:hAnsi="Times New Roman" w:cs="Times New Roman"/>
          <w:b/>
          <w:color w:val="1D1D1D"/>
          <w:sz w:val="24"/>
          <w:szCs w:val="24"/>
          <w:shd w:val="clear" w:color="auto" w:fill="FFFFFF"/>
        </w:rPr>
      </w:pPr>
    </w:p>
    <w:p w:rsidR="00EC1055" w:rsidRDefault="00B36EC0" w:rsidP="007C11DD">
      <w:pPr>
        <w:ind w:firstLine="0"/>
        <w:jc w:val="center"/>
        <w:rPr>
          <w:rFonts w:ascii="Times New Roman" w:hAnsi="Times New Roman" w:cs="Times New Roman"/>
          <w:b/>
          <w:sz w:val="24"/>
          <w:szCs w:val="24"/>
        </w:rPr>
      </w:pPr>
      <w:r>
        <w:rPr>
          <w:rFonts w:ascii="Times New Roman" w:hAnsi="Times New Roman" w:cs="Times New Roman"/>
          <w:b/>
          <w:sz w:val="24"/>
          <w:szCs w:val="24"/>
        </w:rPr>
        <w:t>Poverty and Personality Theories</w:t>
      </w:r>
    </w:p>
    <w:p w:rsidR="00EC1055" w:rsidRDefault="00EC1055" w:rsidP="007C11DD">
      <w:pPr>
        <w:ind w:firstLine="0"/>
        <w:jc w:val="center"/>
        <w:rPr>
          <w:rFonts w:ascii="Times New Roman" w:hAnsi="Times New Roman" w:cs="Times New Roman"/>
          <w:b/>
          <w:sz w:val="24"/>
          <w:szCs w:val="24"/>
        </w:rPr>
      </w:pPr>
    </w:p>
    <w:p w:rsidR="00EC1055" w:rsidRDefault="00EC1055" w:rsidP="007C11DD">
      <w:pPr>
        <w:ind w:firstLine="0"/>
        <w:jc w:val="center"/>
        <w:rPr>
          <w:rFonts w:ascii="Times New Roman" w:hAnsi="Times New Roman" w:cs="Times New Roman"/>
          <w:b/>
          <w:sz w:val="24"/>
          <w:szCs w:val="24"/>
        </w:rPr>
      </w:pPr>
    </w:p>
    <w:p w:rsidR="00EC1055" w:rsidRDefault="00EC1055" w:rsidP="007C11DD">
      <w:pPr>
        <w:ind w:firstLine="0"/>
        <w:jc w:val="center"/>
        <w:rPr>
          <w:rFonts w:ascii="Times New Roman" w:hAnsi="Times New Roman" w:cs="Times New Roman"/>
          <w:b/>
          <w:sz w:val="24"/>
          <w:szCs w:val="24"/>
        </w:rPr>
      </w:pPr>
    </w:p>
    <w:p w:rsidR="00EC1055" w:rsidRDefault="00EC1055" w:rsidP="007C11DD">
      <w:pPr>
        <w:ind w:firstLine="0"/>
        <w:jc w:val="center"/>
        <w:rPr>
          <w:rFonts w:ascii="Times New Roman" w:hAnsi="Times New Roman" w:cs="Times New Roman"/>
          <w:b/>
          <w:sz w:val="24"/>
          <w:szCs w:val="24"/>
        </w:rPr>
      </w:pPr>
    </w:p>
    <w:p w:rsidR="00EC1055" w:rsidRDefault="00EC1055" w:rsidP="007C11DD">
      <w:pPr>
        <w:ind w:firstLine="0"/>
        <w:jc w:val="center"/>
        <w:rPr>
          <w:rFonts w:ascii="Times New Roman" w:hAnsi="Times New Roman" w:cs="Times New Roman"/>
          <w:b/>
          <w:sz w:val="24"/>
          <w:szCs w:val="24"/>
        </w:rPr>
      </w:pPr>
    </w:p>
    <w:p w:rsidR="00EC1055" w:rsidRDefault="00EC1055" w:rsidP="007C11DD">
      <w:pPr>
        <w:ind w:firstLine="0"/>
        <w:jc w:val="center"/>
        <w:rPr>
          <w:rFonts w:ascii="Times New Roman" w:hAnsi="Times New Roman" w:cs="Times New Roman"/>
          <w:b/>
          <w:sz w:val="24"/>
          <w:szCs w:val="24"/>
        </w:rPr>
      </w:pPr>
    </w:p>
    <w:p w:rsidR="00EC1055" w:rsidRDefault="00EC1055" w:rsidP="007C11DD">
      <w:pPr>
        <w:ind w:firstLine="0"/>
        <w:jc w:val="center"/>
        <w:rPr>
          <w:rFonts w:ascii="Times New Roman" w:hAnsi="Times New Roman" w:cs="Times New Roman"/>
          <w:b/>
          <w:sz w:val="24"/>
          <w:szCs w:val="24"/>
        </w:rPr>
      </w:pPr>
    </w:p>
    <w:p w:rsidR="00EC1055" w:rsidRDefault="00B36EC0" w:rsidP="007C11DD">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EC1055" w:rsidRDefault="00B36EC0" w:rsidP="007C11DD">
      <w:pPr>
        <w:ind w:firstLine="0"/>
        <w:jc w:val="center"/>
        <w:rPr>
          <w:rFonts w:ascii="Times New Roman" w:hAnsi="Times New Roman" w:cs="Times New Roman"/>
          <w:sz w:val="24"/>
          <w:szCs w:val="24"/>
        </w:rPr>
      </w:pPr>
      <w:r>
        <w:rPr>
          <w:rFonts w:ascii="Times New Roman" w:hAnsi="Times New Roman" w:cs="Times New Roman"/>
          <w:sz w:val="24"/>
          <w:szCs w:val="24"/>
        </w:rPr>
        <w:t>Institution</w:t>
      </w:r>
      <w:r w:rsidR="007C11DD">
        <w:rPr>
          <w:rFonts w:ascii="Times New Roman" w:hAnsi="Times New Roman" w:cs="Times New Roman"/>
          <w:sz w:val="24"/>
          <w:szCs w:val="24"/>
        </w:rPr>
        <w:t xml:space="preserve"> of Affiliation </w:t>
      </w:r>
    </w:p>
    <w:p w:rsidR="00EC1055" w:rsidRDefault="00B36EC0" w:rsidP="007C11DD">
      <w:pPr>
        <w:ind w:firstLine="0"/>
        <w:jc w:val="center"/>
        <w:rPr>
          <w:rFonts w:ascii="Times New Roman" w:hAnsi="Times New Roman" w:cs="Times New Roman"/>
          <w:sz w:val="24"/>
          <w:szCs w:val="24"/>
        </w:rPr>
      </w:pPr>
      <w:r>
        <w:rPr>
          <w:rFonts w:ascii="Times New Roman" w:hAnsi="Times New Roman" w:cs="Times New Roman"/>
          <w:sz w:val="24"/>
          <w:szCs w:val="24"/>
        </w:rPr>
        <w:t>Professor</w:t>
      </w:r>
    </w:p>
    <w:p w:rsidR="00EC1055" w:rsidRDefault="00B36EC0" w:rsidP="007C11DD">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EC1055" w:rsidRDefault="00EC1055">
      <w:pPr>
        <w:rPr>
          <w:rFonts w:ascii="Times New Roman" w:hAnsi="Times New Roman" w:cs="Times New Roman"/>
          <w:b/>
          <w:sz w:val="24"/>
          <w:szCs w:val="24"/>
        </w:rPr>
      </w:pPr>
    </w:p>
    <w:p w:rsidR="00EC1055" w:rsidRDefault="00EC1055">
      <w:pPr>
        <w:rPr>
          <w:rFonts w:ascii="Times New Roman" w:hAnsi="Times New Roman" w:cs="Times New Roman"/>
          <w:b/>
          <w:sz w:val="24"/>
          <w:szCs w:val="24"/>
        </w:rPr>
      </w:pPr>
    </w:p>
    <w:p w:rsidR="00EC1055" w:rsidRDefault="00EC1055">
      <w:pPr>
        <w:rPr>
          <w:rFonts w:ascii="Times New Roman" w:hAnsi="Times New Roman" w:cs="Times New Roman"/>
          <w:b/>
          <w:sz w:val="24"/>
          <w:szCs w:val="24"/>
        </w:rPr>
      </w:pPr>
    </w:p>
    <w:p w:rsidR="00EC1055" w:rsidRDefault="00EC1055">
      <w:pPr>
        <w:jc w:val="center"/>
        <w:rPr>
          <w:rFonts w:ascii="Times New Roman" w:hAnsi="Times New Roman" w:cs="Times New Roman"/>
          <w:sz w:val="24"/>
          <w:szCs w:val="24"/>
        </w:rPr>
      </w:pPr>
    </w:p>
    <w:p w:rsidR="00EC1055" w:rsidRDefault="00EC1055">
      <w:pPr>
        <w:jc w:val="center"/>
        <w:rPr>
          <w:rFonts w:ascii="Times New Roman" w:hAnsi="Times New Roman" w:cs="Times New Roman"/>
          <w:sz w:val="24"/>
          <w:szCs w:val="24"/>
        </w:rPr>
      </w:pPr>
    </w:p>
    <w:p w:rsidR="00EC1055" w:rsidRDefault="00EC1055">
      <w:pPr>
        <w:jc w:val="center"/>
        <w:rPr>
          <w:rFonts w:ascii="Times New Roman" w:hAnsi="Times New Roman" w:cs="Times New Roman"/>
          <w:sz w:val="24"/>
          <w:szCs w:val="24"/>
        </w:rPr>
      </w:pPr>
    </w:p>
    <w:p w:rsidR="00EC1055" w:rsidRDefault="00EC1055">
      <w:pPr>
        <w:jc w:val="center"/>
        <w:rPr>
          <w:rFonts w:ascii="Times New Roman" w:hAnsi="Times New Roman" w:cs="Times New Roman"/>
          <w:sz w:val="24"/>
          <w:szCs w:val="24"/>
        </w:rPr>
      </w:pPr>
    </w:p>
    <w:p w:rsidR="00EC1055" w:rsidRDefault="00EC1055">
      <w:pPr>
        <w:jc w:val="center"/>
        <w:rPr>
          <w:rFonts w:ascii="Times New Roman" w:hAnsi="Times New Roman" w:cs="Times New Roman"/>
          <w:sz w:val="24"/>
          <w:szCs w:val="24"/>
        </w:rPr>
      </w:pPr>
    </w:p>
    <w:p w:rsidR="00EC1055" w:rsidRDefault="00EC1055">
      <w:pPr>
        <w:jc w:val="center"/>
        <w:rPr>
          <w:rFonts w:ascii="Times New Roman" w:hAnsi="Times New Roman" w:cs="Times New Roman"/>
          <w:sz w:val="24"/>
          <w:szCs w:val="24"/>
        </w:rPr>
      </w:pPr>
    </w:p>
    <w:p w:rsidR="00EC1055" w:rsidRDefault="00EC1055">
      <w:pPr>
        <w:jc w:val="center"/>
        <w:rPr>
          <w:rFonts w:ascii="Times New Roman" w:hAnsi="Times New Roman" w:cs="Times New Roman"/>
          <w:sz w:val="24"/>
          <w:szCs w:val="24"/>
        </w:rPr>
      </w:pPr>
    </w:p>
    <w:p w:rsidR="00EC1055" w:rsidRDefault="00EC1055">
      <w:pPr>
        <w:jc w:val="center"/>
        <w:rPr>
          <w:rFonts w:ascii="Times New Roman" w:hAnsi="Times New Roman" w:cs="Times New Roman"/>
          <w:sz w:val="24"/>
          <w:szCs w:val="24"/>
        </w:rPr>
      </w:pPr>
    </w:p>
    <w:p w:rsidR="00EC1055" w:rsidRPr="007C11DD" w:rsidRDefault="00B36EC0" w:rsidP="007C11DD">
      <w:pPr>
        <w:ind w:firstLine="0"/>
        <w:jc w:val="center"/>
        <w:rPr>
          <w:rFonts w:ascii="Times New Roman" w:hAnsi="Times New Roman" w:cs="Times New Roman"/>
          <w:b/>
          <w:sz w:val="24"/>
          <w:szCs w:val="24"/>
        </w:rPr>
      </w:pPr>
      <w:r w:rsidRPr="007C11DD">
        <w:rPr>
          <w:rFonts w:ascii="Times New Roman" w:hAnsi="Times New Roman" w:cs="Times New Roman"/>
          <w:b/>
          <w:sz w:val="24"/>
          <w:szCs w:val="24"/>
        </w:rPr>
        <w:t>Poverty and Personality Theories</w:t>
      </w:r>
    </w:p>
    <w:p w:rsidR="00EC1055" w:rsidRDefault="00B36EC0" w:rsidP="007C11DD">
      <w:pPr>
        <w:pStyle w:val="ListParagraph"/>
        <w:ind w:left="0"/>
        <w:jc w:val="center"/>
        <w:rPr>
          <w:b/>
        </w:rPr>
      </w:pPr>
      <w:r>
        <w:rPr>
          <w:b/>
        </w:rPr>
        <w:t>The Comparison and Contrast of the Individual Deficiency and Cultural Belief Systems Theories on Why Poverty Exists</w:t>
      </w:r>
    </w:p>
    <w:p w:rsidR="00EC1055" w:rsidRDefault="00B36EC0">
      <w:pPr>
        <w:pStyle w:val="NormalWeb"/>
        <w:shd w:val="clear" w:color="auto" w:fill="FFFFFF"/>
        <w:spacing w:before="0" w:beforeAutospacing="0" w:after="0" w:afterAutospacing="0" w:line="480" w:lineRule="auto"/>
        <w:ind w:firstLine="720"/>
      </w:pPr>
      <w:r>
        <w:t>According</w:t>
      </w:r>
      <w:r>
        <w:t xml:space="preserve"> to the individual deficiency theory, poverty is caused by Individual Deficiencies. This theoretical approach blames individuals for their </w:t>
      </w:r>
      <w:r>
        <w:t xml:space="preserve">state and </w:t>
      </w:r>
      <w:r>
        <w:t>levels of poverty. Therefore, poor people create problems that they would otherwise avoid if they worked ha</w:t>
      </w:r>
      <w:r>
        <w:t>rder and made better choices. There are also genetic factors like the lack of intelligence to make wealth (</w:t>
      </w:r>
      <w:r>
        <w:rPr>
          <w:color w:val="222222"/>
          <w:shd w:val="clear" w:color="auto" w:fill="FFFFFF"/>
        </w:rPr>
        <w:t xml:space="preserve">Danaan, 2018). </w:t>
      </w:r>
      <w:r>
        <w:t xml:space="preserve"> On the contrary, the cultural belief system theory argues that individuals can only work hard if they have been socialized to do so. </w:t>
      </w:r>
      <w:r>
        <w:t xml:space="preserve">As a result, poverty might not be avoided in a society where people have been socialized to be ready and dependent on others to change their living conditions. </w:t>
      </w:r>
    </w:p>
    <w:p w:rsidR="00EC1055" w:rsidRDefault="00B36EC0">
      <w:pPr>
        <w:pStyle w:val="NormalWeb"/>
        <w:shd w:val="clear" w:color="auto" w:fill="FFFFFF"/>
        <w:spacing w:before="0" w:beforeAutospacing="0" w:after="0" w:afterAutospacing="0" w:line="480" w:lineRule="auto"/>
        <w:ind w:firstLine="720"/>
      </w:pPr>
      <w:r>
        <w:t>This approach also uses religious beliefs to explain individual deficiencies that contribute to</w:t>
      </w:r>
      <w:r>
        <w:t xml:space="preserve"> their poverty levels. For example, based on the protestant reformists, the blind and disabled people and those with other physical deformities should have their parents to blame for their conditions. According to this perspective, God punishes these peopl</w:t>
      </w:r>
      <w:r>
        <w:t>e with deformities because of the sins of their parents. Consequently, because these individuals may not be able to work hard, they become impoverished because of their parents' deficiencies. The same applies to individuals who lack the inherited intellige</w:t>
      </w:r>
      <w:r>
        <w:t>nce which people use to make wealth and make informed decisions (Danaan, 2018). The cultural belief systems theory does not relate individual physical features to their poverty. Even individuals with physical deformities can be wealthy if they are socializ</w:t>
      </w:r>
      <w:r>
        <w:t xml:space="preserve">ed to create their wealth. </w:t>
      </w:r>
    </w:p>
    <w:p w:rsidR="00EC1055" w:rsidRDefault="00B36EC0">
      <w:pPr>
        <w:pStyle w:val="NormalWeb"/>
        <w:shd w:val="clear" w:color="auto" w:fill="FFFFFF"/>
        <w:spacing w:before="0" w:beforeAutospacing="0" w:after="0" w:afterAutospacing="0" w:line="480" w:lineRule="auto"/>
        <w:ind w:firstLine="720"/>
      </w:pPr>
      <w:r>
        <w:t xml:space="preserve">There is also a eugenic belief that poor people bear the mark of Cain in the Bible. As a result, such individuals are created to suffer, and they must suffer to pay for the lack of good moral choices. The best form of suffering </w:t>
      </w:r>
      <w:r>
        <w:t xml:space="preserve">for such individuals is therefore poverty that </w:t>
      </w:r>
      <w:r>
        <w:lastRenderedPageBreak/>
        <w:t>denies them a good and comfortable life.  Wrong moral choices, therefore, predispose individuals to live in hell while on earth. Additionally, poverty's economic perspectives view poverty as caused by the fail</w:t>
      </w:r>
      <w:r>
        <w:t>ure of individuals to maximize their resources, their well-being, and failure to make investments. Danaan, (2018) argues that the lack of perfect information on how to create wealth also makes individuals poor. This argument is similar to that of the cultu</w:t>
      </w:r>
      <w:r>
        <w:t>ral belief system theorists who also believe that moral choices are paramount in determining whether people live in poverty or not. However, the morality of options according to the cultural systems is based on the cultural values and rules.</w:t>
      </w:r>
    </w:p>
    <w:p w:rsidR="00EC1055" w:rsidRDefault="00B36EC0">
      <w:pPr>
        <w:pStyle w:val="NormalWeb"/>
        <w:shd w:val="clear" w:color="auto" w:fill="FFFFFF"/>
        <w:spacing w:before="0" w:beforeAutospacing="0" w:after="0" w:afterAutospacing="0" w:line="480" w:lineRule="auto"/>
        <w:ind w:firstLine="720"/>
      </w:pPr>
      <w:r>
        <w:t>According to D</w:t>
      </w:r>
      <w:r>
        <w:t>anaan, (2018) such choices as choosing to forgo college education or taking a training course that gives one skill to make money also make individuals poor. Individuals also have the right to select techniques that can guarantee them well-paying jobs. Fail</w:t>
      </w:r>
      <w:r>
        <w:t xml:space="preserve">ure to pursue the right courses can land individuals to low paying jobs and consequently predispose them to poverty. Poverty is, therefore, caused by the lack of incentives by individuals to better their lives. The cultural belief system theorists counter </w:t>
      </w:r>
      <w:r>
        <w:t>this argument as they believe that individuals might be willing to have well-paying jobs, but their cultural systems might bar them. These systems might make all jobs of poor wages or even deny individuals the opportunity to acquire these jobs, leaving the</w:t>
      </w:r>
      <w:r>
        <w:t xml:space="preserve">m to rot in poverty for lack of options to deliver themselves from poverty bonds. </w:t>
      </w:r>
    </w:p>
    <w:p w:rsidR="00EC1055" w:rsidRDefault="00B36EC0">
      <w:pPr>
        <w:pStyle w:val="NormalWeb"/>
        <w:shd w:val="clear" w:color="auto" w:fill="FFFFFF"/>
        <w:spacing w:before="0" w:beforeAutospacing="0" w:after="0" w:afterAutospacing="0" w:line="480" w:lineRule="auto"/>
        <w:ind w:firstLine="720"/>
      </w:pPr>
      <w:r>
        <w:t xml:space="preserve"> The cultural belief system's theoretical approach to poverty views poverty as caused by cultural beliefs that support poverty subcultures (Sharma, 2018). This theory assert</w:t>
      </w:r>
      <w:r>
        <w:t xml:space="preserve">s that poverty is created by transmitting a set of beliefs, skills, and values by individuals over generations. However, this theory contrasts the approach that blames poverty on individuals as it views individuals as victims of dysfunctional cultures and </w:t>
      </w:r>
      <w:r>
        <w:t xml:space="preserve">subcultures, which expose them to poverty. This theory is similar to individual deficiency theory. It points to individuals </w:t>
      </w:r>
      <w:r>
        <w:lastRenderedPageBreak/>
        <w:t>who fail to make the right choices and, as a result, pass skills and values that are counterproductive to others, causing them to in</w:t>
      </w:r>
      <w:r>
        <w:t>herit their poverty.</w:t>
      </w:r>
    </w:p>
    <w:p w:rsidR="00EC1055" w:rsidRDefault="00B36EC0">
      <w:pPr>
        <w:pStyle w:val="NormalWeb"/>
        <w:shd w:val="clear" w:color="auto" w:fill="FFFFFF"/>
        <w:spacing w:before="0" w:beforeAutospacing="0" w:after="0" w:afterAutospacing="0" w:line="480" w:lineRule="auto"/>
        <w:ind w:firstLine="720"/>
      </w:pPr>
      <w:r>
        <w:t>This theoretical approach is also different from the individual deficiency theory, as it views poverty as a socially generated culture and perpetuated. Poverty is thus a social issue that is determined by society members' concerted eff</w:t>
      </w:r>
      <w:r>
        <w:t>orts and not an individual choice or motivation. An example is the culture of the people living in the ghettos. Despite some of these individuals being intelligent and having taken some good college courses, their living in the ghettos makes them poor beca</w:t>
      </w:r>
      <w:r>
        <w:t>use they will share in the beliefs and values of the ghettos. Therefore, individuals are not in control of themselves as children are born into the cultures of poverty. This makes these children become psychologically unprepared to take advantage of change</w:t>
      </w:r>
      <w:r>
        <w:t>s in the future. They also become unable to grab opportunities that come their way to change their lives hence perpetuating the poverty cycle they are already in (</w:t>
      </w:r>
      <w:r>
        <w:rPr>
          <w:color w:val="222222"/>
          <w:shd w:val="clear" w:color="auto" w:fill="FFFFFF"/>
        </w:rPr>
        <w:t>Sharma, 2018).</w:t>
      </w:r>
    </w:p>
    <w:p w:rsidR="00EC1055" w:rsidRDefault="00B36EC0">
      <w:pPr>
        <w:pStyle w:val="NormalWeb"/>
        <w:shd w:val="clear" w:color="auto" w:fill="FFFFFF"/>
        <w:spacing w:before="0" w:beforeAutospacing="0" w:after="0" w:afterAutospacing="0" w:line="480" w:lineRule="auto"/>
        <w:ind w:firstLine="720"/>
      </w:pPr>
      <w:r>
        <w:t>Cultures are learned as individuals are socialized into certain cultures. This</w:t>
      </w:r>
      <w:r>
        <w:t xml:space="preserve"> cultural theory of poverty is different from the individual deficiency theory of poverty because it posits that systems are responsible for poverty. For example, government systems could create a culture of making people dependent on government food, educ</w:t>
      </w:r>
      <w:r>
        <w:t>ation, and drugs. As a result, people tend to associate these services with the government and never make it their initiatives. The practice then becomes deeply rotted in a community, and as children are born, they are taught the same culture</w:t>
      </w:r>
      <w:r>
        <w:rPr>
          <w:color w:val="222222"/>
          <w:shd w:val="clear" w:color="auto" w:fill="FFFFFF"/>
        </w:rPr>
        <w:t xml:space="preserve"> (Sharma, 2018</w:t>
      </w:r>
      <w:r>
        <w:rPr>
          <w:color w:val="222222"/>
          <w:shd w:val="clear" w:color="auto" w:fill="FFFFFF"/>
        </w:rPr>
        <w:t>).</w:t>
      </w:r>
    </w:p>
    <w:p w:rsidR="00EC1055" w:rsidRDefault="00EC1055">
      <w:pPr>
        <w:ind w:firstLine="0"/>
        <w:jc w:val="center"/>
        <w:rPr>
          <w:rFonts w:ascii="Times New Roman" w:hAnsi="Times New Roman" w:cs="Times New Roman"/>
          <w:b/>
          <w:sz w:val="24"/>
          <w:szCs w:val="24"/>
        </w:rPr>
      </w:pPr>
    </w:p>
    <w:p w:rsidR="00EC1055" w:rsidRDefault="00EC1055">
      <w:pPr>
        <w:ind w:firstLine="0"/>
        <w:jc w:val="center"/>
        <w:rPr>
          <w:rFonts w:ascii="Times New Roman" w:hAnsi="Times New Roman" w:cs="Times New Roman"/>
          <w:b/>
          <w:sz w:val="24"/>
          <w:szCs w:val="24"/>
        </w:rPr>
      </w:pPr>
    </w:p>
    <w:p w:rsidR="00EC1055" w:rsidRDefault="00EC1055">
      <w:pPr>
        <w:ind w:firstLine="0"/>
        <w:jc w:val="center"/>
        <w:rPr>
          <w:rFonts w:ascii="Times New Roman" w:hAnsi="Times New Roman" w:cs="Times New Roman"/>
          <w:b/>
          <w:sz w:val="24"/>
          <w:szCs w:val="24"/>
        </w:rPr>
      </w:pPr>
    </w:p>
    <w:p w:rsidR="00EC1055" w:rsidRDefault="00EC1055">
      <w:pPr>
        <w:ind w:firstLine="0"/>
        <w:jc w:val="center"/>
        <w:rPr>
          <w:rFonts w:ascii="Times New Roman" w:hAnsi="Times New Roman" w:cs="Times New Roman"/>
          <w:b/>
          <w:sz w:val="24"/>
          <w:szCs w:val="24"/>
        </w:rPr>
      </w:pPr>
    </w:p>
    <w:p w:rsidR="00EC1055" w:rsidRDefault="00EC1055">
      <w:pPr>
        <w:ind w:firstLine="0"/>
        <w:jc w:val="center"/>
        <w:rPr>
          <w:rFonts w:ascii="Times New Roman" w:hAnsi="Times New Roman" w:cs="Times New Roman"/>
          <w:b/>
          <w:sz w:val="24"/>
          <w:szCs w:val="24"/>
        </w:rPr>
      </w:pPr>
    </w:p>
    <w:p w:rsidR="00EC1055" w:rsidRDefault="00EC1055">
      <w:pPr>
        <w:ind w:firstLine="0"/>
        <w:jc w:val="center"/>
        <w:rPr>
          <w:rFonts w:ascii="Times New Roman" w:hAnsi="Times New Roman" w:cs="Times New Roman"/>
          <w:b/>
          <w:sz w:val="24"/>
          <w:szCs w:val="24"/>
        </w:rPr>
      </w:pPr>
    </w:p>
    <w:p w:rsidR="00EC1055" w:rsidRDefault="00B36EC0" w:rsidP="007C11DD">
      <w:pPr>
        <w:ind w:firstLine="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EC1055" w:rsidRDefault="00B36EC0" w:rsidP="007C11DD">
      <w:pPr>
        <w:pStyle w:val="NormalWeb"/>
        <w:shd w:val="clear" w:color="auto" w:fill="FFFFFF"/>
        <w:spacing w:before="0" w:beforeAutospacing="0" w:after="0" w:afterAutospacing="0" w:line="480" w:lineRule="auto"/>
        <w:ind w:left="720" w:hanging="720"/>
        <w:rPr>
          <w:color w:val="222222"/>
          <w:shd w:val="clear" w:color="auto" w:fill="FFFFFF"/>
        </w:rPr>
      </w:pPr>
      <w:r>
        <w:rPr>
          <w:color w:val="222222"/>
          <w:shd w:val="clear" w:color="auto" w:fill="FFFFFF"/>
        </w:rPr>
        <w:t xml:space="preserve">Danaan, V. V. (2018). </w:t>
      </w:r>
      <w:bookmarkStart w:id="0" w:name="_GoBack"/>
      <w:bookmarkEnd w:id="0"/>
      <w:r>
        <w:rPr>
          <w:color w:val="222222"/>
          <w:shd w:val="clear" w:color="auto" w:fill="FFFFFF"/>
        </w:rPr>
        <w:t>Analyzing poverty in Nigeria through theoretical lenses. </w:t>
      </w:r>
      <w:r>
        <w:rPr>
          <w:i/>
          <w:iCs/>
          <w:color w:val="222222"/>
          <w:shd w:val="clear" w:color="auto" w:fill="FFFFFF"/>
        </w:rPr>
        <w:t>Journal of Sustainable Development</w:t>
      </w:r>
      <w:r>
        <w:rPr>
          <w:color w:val="222222"/>
          <w:shd w:val="clear" w:color="auto" w:fill="FFFFFF"/>
        </w:rPr>
        <w:t>, </w:t>
      </w:r>
      <w:r>
        <w:rPr>
          <w:i/>
          <w:iCs/>
          <w:color w:val="222222"/>
          <w:shd w:val="clear" w:color="auto" w:fill="FFFFFF"/>
        </w:rPr>
        <w:t>11</w:t>
      </w:r>
      <w:r>
        <w:rPr>
          <w:color w:val="222222"/>
          <w:shd w:val="clear" w:color="auto" w:fill="FFFFFF"/>
        </w:rPr>
        <w:t>(1), 20-31.</w:t>
      </w:r>
    </w:p>
    <w:p w:rsidR="00EC1055" w:rsidRDefault="00B36EC0" w:rsidP="007C11DD">
      <w:pPr>
        <w:pStyle w:val="NormalWeb"/>
        <w:shd w:val="clear" w:color="auto" w:fill="FFFFFF"/>
        <w:spacing w:before="0" w:beforeAutospacing="0" w:after="0" w:afterAutospacing="0" w:line="480" w:lineRule="auto"/>
        <w:ind w:left="720" w:hanging="720"/>
        <w:rPr>
          <w:color w:val="222222"/>
          <w:shd w:val="clear" w:color="auto" w:fill="FFFFFF"/>
        </w:rPr>
      </w:pPr>
      <w:r>
        <w:rPr>
          <w:color w:val="222222"/>
          <w:shd w:val="clear" w:color="auto" w:fill="FFFFFF"/>
        </w:rPr>
        <w:t xml:space="preserve">Sharma, S. (2018). Cultural Theory of Poverty and Informal Sector: A Case Study of Street Vendors of Pondy </w:t>
      </w:r>
      <w:r>
        <w:rPr>
          <w:color w:val="222222"/>
          <w:shd w:val="clear" w:color="auto" w:fill="FFFFFF"/>
        </w:rPr>
        <w:t>Bazaar, Chennai. </w:t>
      </w:r>
      <w:r>
        <w:rPr>
          <w:i/>
          <w:iCs/>
          <w:color w:val="222222"/>
          <w:shd w:val="clear" w:color="auto" w:fill="FFFFFF"/>
        </w:rPr>
        <w:t>Research Journal of Humanities and Social Sciences</w:t>
      </w:r>
      <w:r>
        <w:rPr>
          <w:color w:val="222222"/>
          <w:shd w:val="clear" w:color="auto" w:fill="FFFFFF"/>
        </w:rPr>
        <w:t>, </w:t>
      </w:r>
      <w:r>
        <w:rPr>
          <w:i/>
          <w:iCs/>
          <w:color w:val="222222"/>
          <w:shd w:val="clear" w:color="auto" w:fill="FFFFFF"/>
        </w:rPr>
        <w:t>9</w:t>
      </w:r>
      <w:r>
        <w:rPr>
          <w:color w:val="222222"/>
          <w:shd w:val="clear" w:color="auto" w:fill="FFFFFF"/>
        </w:rPr>
        <w:t>(3), 557-566.</w:t>
      </w:r>
    </w:p>
    <w:p w:rsidR="00EC1055" w:rsidRDefault="00EC1055">
      <w:pPr>
        <w:ind w:firstLine="0"/>
        <w:jc w:val="center"/>
        <w:rPr>
          <w:rFonts w:ascii="Times New Roman" w:hAnsi="Times New Roman" w:cs="Times New Roman"/>
          <w:sz w:val="24"/>
          <w:szCs w:val="24"/>
        </w:rPr>
      </w:pPr>
    </w:p>
    <w:sectPr w:rsidR="00EC105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EC0" w:rsidRDefault="00B36EC0">
      <w:pPr>
        <w:spacing w:line="240" w:lineRule="auto"/>
      </w:pPr>
      <w:r>
        <w:separator/>
      </w:r>
    </w:p>
  </w:endnote>
  <w:endnote w:type="continuationSeparator" w:id="0">
    <w:p w:rsidR="00B36EC0" w:rsidRDefault="00B36E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EC0" w:rsidRDefault="00B36EC0">
      <w:pPr>
        <w:spacing w:line="240" w:lineRule="auto"/>
      </w:pPr>
      <w:r>
        <w:separator/>
      </w:r>
    </w:p>
  </w:footnote>
  <w:footnote w:type="continuationSeparator" w:id="0">
    <w:p w:rsidR="00B36EC0" w:rsidRDefault="00B36E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055" w:rsidRDefault="00B36EC0">
    <w:pPr>
      <w:pStyle w:val="Header"/>
      <w:jc w:val="right"/>
    </w:pPr>
    <w:r>
      <w:fldChar w:fldCharType="begin"/>
    </w:r>
    <w:r>
      <w:instrText xml:space="preserve"> PAGE   \* MERGEFORMAT </w:instrText>
    </w:r>
    <w:r>
      <w:fldChar w:fldCharType="separate"/>
    </w:r>
    <w:r w:rsidR="007C11DD">
      <w:rPr>
        <w:noProof/>
      </w:rPr>
      <w:t>4</w:t>
    </w:r>
    <w:r>
      <w:rPr>
        <w:noProof/>
      </w:rPr>
      <w:fldChar w:fldCharType="end"/>
    </w:r>
  </w:p>
  <w:p w:rsidR="00EC1055" w:rsidRDefault="00EC10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8D7A27C0"/>
    <w:lvl w:ilvl="0" w:tplc="1DFA41FA">
      <w:start w:val="1"/>
      <w:numFmt w:val="bullet"/>
      <w:lvlText w:val=""/>
      <w:lvlJc w:val="left"/>
      <w:pPr>
        <w:ind w:left="720" w:hanging="360"/>
      </w:pPr>
      <w:rPr>
        <w:rFonts w:ascii="Symbol" w:hAnsi="Symbol" w:hint="default"/>
      </w:rPr>
    </w:lvl>
    <w:lvl w:ilvl="1" w:tplc="672EEED2" w:tentative="1">
      <w:start w:val="1"/>
      <w:numFmt w:val="bullet"/>
      <w:lvlText w:val="o"/>
      <w:lvlJc w:val="left"/>
      <w:pPr>
        <w:ind w:left="1440" w:hanging="360"/>
      </w:pPr>
      <w:rPr>
        <w:rFonts w:ascii="Courier New" w:hAnsi="Courier New" w:cs="Courier New" w:hint="default"/>
      </w:rPr>
    </w:lvl>
    <w:lvl w:ilvl="2" w:tplc="7C788300" w:tentative="1">
      <w:start w:val="1"/>
      <w:numFmt w:val="bullet"/>
      <w:lvlText w:val=""/>
      <w:lvlJc w:val="left"/>
      <w:pPr>
        <w:ind w:left="2160" w:hanging="360"/>
      </w:pPr>
      <w:rPr>
        <w:rFonts w:ascii="Wingdings" w:hAnsi="Wingdings" w:hint="default"/>
      </w:rPr>
    </w:lvl>
    <w:lvl w:ilvl="3" w:tplc="017E7ED4" w:tentative="1">
      <w:start w:val="1"/>
      <w:numFmt w:val="bullet"/>
      <w:lvlText w:val=""/>
      <w:lvlJc w:val="left"/>
      <w:pPr>
        <w:ind w:left="2880" w:hanging="360"/>
      </w:pPr>
      <w:rPr>
        <w:rFonts w:ascii="Symbol" w:hAnsi="Symbol" w:hint="default"/>
      </w:rPr>
    </w:lvl>
    <w:lvl w:ilvl="4" w:tplc="335E165A" w:tentative="1">
      <w:start w:val="1"/>
      <w:numFmt w:val="bullet"/>
      <w:lvlText w:val="o"/>
      <w:lvlJc w:val="left"/>
      <w:pPr>
        <w:ind w:left="3600" w:hanging="360"/>
      </w:pPr>
      <w:rPr>
        <w:rFonts w:ascii="Courier New" w:hAnsi="Courier New" w:cs="Courier New" w:hint="default"/>
      </w:rPr>
    </w:lvl>
    <w:lvl w:ilvl="5" w:tplc="DC567366" w:tentative="1">
      <w:start w:val="1"/>
      <w:numFmt w:val="bullet"/>
      <w:lvlText w:val=""/>
      <w:lvlJc w:val="left"/>
      <w:pPr>
        <w:ind w:left="4320" w:hanging="360"/>
      </w:pPr>
      <w:rPr>
        <w:rFonts w:ascii="Wingdings" w:hAnsi="Wingdings" w:hint="default"/>
      </w:rPr>
    </w:lvl>
    <w:lvl w:ilvl="6" w:tplc="79308278" w:tentative="1">
      <w:start w:val="1"/>
      <w:numFmt w:val="bullet"/>
      <w:lvlText w:val=""/>
      <w:lvlJc w:val="left"/>
      <w:pPr>
        <w:ind w:left="5040" w:hanging="360"/>
      </w:pPr>
      <w:rPr>
        <w:rFonts w:ascii="Symbol" w:hAnsi="Symbol" w:hint="default"/>
      </w:rPr>
    </w:lvl>
    <w:lvl w:ilvl="7" w:tplc="9682A792" w:tentative="1">
      <w:start w:val="1"/>
      <w:numFmt w:val="bullet"/>
      <w:lvlText w:val="o"/>
      <w:lvlJc w:val="left"/>
      <w:pPr>
        <w:ind w:left="5760" w:hanging="360"/>
      </w:pPr>
      <w:rPr>
        <w:rFonts w:ascii="Courier New" w:hAnsi="Courier New" w:cs="Courier New" w:hint="default"/>
      </w:rPr>
    </w:lvl>
    <w:lvl w:ilvl="8" w:tplc="1E786D6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055"/>
    <w:rsid w:val="007C11DD"/>
    <w:rsid w:val="00B36EC0"/>
    <w:rsid w:val="00EC1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line="240" w:lineRule="auto"/>
      <w:ind w:firstLine="0"/>
    </w:pPr>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firstLine="0"/>
      <w:contextualSpacing/>
    </w:pPr>
    <w:rPr>
      <w:rFonts w:ascii="Times New Roman" w:hAnsi="Times New Roman" w:cs="Times New Roman"/>
      <w:bCs/>
      <w:sz w:val="24"/>
      <w:szCs w:val="24"/>
      <w:lang w:val="en-US"/>
    </w:rPr>
  </w:style>
  <w:style w:type="table" w:styleId="TableGrid">
    <w:name w:val="Table Grid"/>
    <w:basedOn w:val="TableNormal"/>
    <w:uiPriority w:val="59"/>
    <w:pPr>
      <w:spacing w:line="240" w:lineRule="auto"/>
      <w:ind w:firstLine="0"/>
    </w:pPr>
    <w:rPr>
      <w:rFonts w:ascii="Times New Roman" w:hAnsi="Times New Roman" w:cs="Times New Roman"/>
      <w:bCs/>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line="240" w:lineRule="auto"/>
      <w:ind w:firstLine="0"/>
    </w:pPr>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firstLine="0"/>
      <w:contextualSpacing/>
    </w:pPr>
    <w:rPr>
      <w:rFonts w:ascii="Times New Roman" w:hAnsi="Times New Roman" w:cs="Times New Roman"/>
      <w:bCs/>
      <w:sz w:val="24"/>
      <w:szCs w:val="24"/>
      <w:lang w:val="en-US"/>
    </w:rPr>
  </w:style>
  <w:style w:type="table" w:styleId="TableGrid">
    <w:name w:val="Table Grid"/>
    <w:basedOn w:val="TableNormal"/>
    <w:uiPriority w:val="59"/>
    <w:pPr>
      <w:spacing w:line="240" w:lineRule="auto"/>
      <w:ind w:firstLine="0"/>
    </w:pPr>
    <w:rPr>
      <w:rFonts w:ascii="Times New Roman" w:hAnsi="Times New Roman" w:cs="Times New Roman"/>
      <w:bCs/>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930</Words>
  <Characters>5303</Characters>
  <Application>Microsoft Office Word</Application>
  <DocSecurity>0</DocSecurity>
  <Lines>44</Lines>
  <Paragraphs>12</Paragraphs>
  <ScaleCrop>false</ScaleCrop>
  <Company/>
  <LinksUpToDate>false</LinksUpToDate>
  <CharactersWithSpaces>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22</cp:revision>
  <dcterms:created xsi:type="dcterms:W3CDTF">2020-10-10T09:30:00Z</dcterms:created>
  <dcterms:modified xsi:type="dcterms:W3CDTF">2020-10-10T12:49:00Z</dcterms:modified>
</cp:coreProperties>
</file>